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3D87" w14:textId="5F830569" w:rsidR="008948D7" w:rsidRPr="001E3B38" w:rsidRDefault="009A1AD0" w:rsidP="009A1AD0">
      <w:pPr>
        <w:jc w:val="center"/>
        <w:rPr>
          <w:b/>
          <w:sz w:val="28"/>
          <w:lang w:val="en-GB"/>
        </w:rPr>
      </w:pPr>
      <w:r w:rsidRPr="001E3B38">
        <w:rPr>
          <w:b/>
          <w:sz w:val="28"/>
          <w:lang w:val="en-GB"/>
        </w:rPr>
        <w:t>Compassion in healthcare: pilgrimage, practice and civic life</w:t>
      </w:r>
    </w:p>
    <w:p w14:paraId="40737838" w14:textId="77777777" w:rsidR="00940086" w:rsidRPr="00940086" w:rsidRDefault="00940086" w:rsidP="009A1AD0">
      <w:pPr>
        <w:jc w:val="center"/>
        <w:rPr>
          <w:sz w:val="28"/>
          <w:lang w:val="en-GB"/>
        </w:rPr>
      </w:pPr>
    </w:p>
    <w:p w14:paraId="4F53636E" w14:textId="28D7C57A" w:rsidR="009A1AD0" w:rsidRDefault="009A1AD0" w:rsidP="009A1AD0">
      <w:pPr>
        <w:jc w:val="center"/>
        <w:rPr>
          <w:sz w:val="28"/>
          <w:lang w:val="en-GB"/>
        </w:rPr>
      </w:pPr>
      <w:r w:rsidRPr="00940086">
        <w:rPr>
          <w:sz w:val="28"/>
          <w:lang w:val="en-GB"/>
        </w:rPr>
        <w:t>Joshua Hordern</w:t>
      </w:r>
    </w:p>
    <w:p w14:paraId="78BF9795" w14:textId="77777777" w:rsidR="00940086" w:rsidRPr="00940086" w:rsidRDefault="00940086" w:rsidP="009A1AD0">
      <w:pPr>
        <w:jc w:val="center"/>
        <w:rPr>
          <w:sz w:val="28"/>
          <w:lang w:val="en-GB"/>
        </w:rPr>
      </w:pPr>
    </w:p>
    <w:p w14:paraId="09B45D3F" w14:textId="3B101D2B" w:rsidR="009A1AD0" w:rsidRDefault="009A1AD0" w:rsidP="009A1AD0">
      <w:pPr>
        <w:jc w:val="center"/>
        <w:rPr>
          <w:sz w:val="28"/>
          <w:lang w:val="en-GB"/>
        </w:rPr>
      </w:pPr>
      <w:r w:rsidRPr="00940086">
        <w:rPr>
          <w:sz w:val="28"/>
          <w:lang w:val="en-GB"/>
        </w:rPr>
        <w:t>Harris Manchester College, Faculty of Theology and Religion</w:t>
      </w:r>
      <w:r w:rsidR="001E3B38">
        <w:rPr>
          <w:sz w:val="28"/>
          <w:lang w:val="en-GB"/>
        </w:rPr>
        <w:t>, University of Oxford</w:t>
      </w:r>
    </w:p>
    <w:p w14:paraId="1EFC4574" w14:textId="4F013886" w:rsidR="00940086" w:rsidRDefault="00940086" w:rsidP="009A1AD0">
      <w:pPr>
        <w:jc w:val="center"/>
        <w:rPr>
          <w:sz w:val="28"/>
          <w:lang w:val="en-GB"/>
        </w:rPr>
      </w:pPr>
    </w:p>
    <w:p w14:paraId="7CE24E28" w14:textId="7B97E3A2" w:rsidR="00940086" w:rsidRPr="00940086" w:rsidRDefault="00940086" w:rsidP="009A1AD0">
      <w:pPr>
        <w:jc w:val="center"/>
        <w:rPr>
          <w:sz w:val="28"/>
          <w:lang w:val="en-GB"/>
        </w:rPr>
      </w:pPr>
      <w:hyperlink r:id="rId7" w:history="1">
        <w:r w:rsidRPr="009E5FD5">
          <w:rPr>
            <w:rStyle w:val="Hyperlink"/>
            <w:sz w:val="28"/>
            <w:lang w:val="en-GB"/>
          </w:rPr>
          <w:t>www.healthcarevalues.ox.ac.uk</w:t>
        </w:r>
      </w:hyperlink>
      <w:r w:rsidR="00A47444">
        <w:rPr>
          <w:sz w:val="28"/>
          <w:lang w:val="en-GB"/>
        </w:rPr>
        <w:t xml:space="preserve">           </w:t>
      </w:r>
      <w:r>
        <w:rPr>
          <w:sz w:val="28"/>
          <w:lang w:val="en-GB"/>
        </w:rPr>
        <w:t xml:space="preserve"> </w:t>
      </w:r>
      <w:r w:rsidR="00A47444">
        <w:rPr>
          <w:sz w:val="28"/>
          <w:lang w:val="en-GB"/>
        </w:rPr>
        <w:fldChar w:fldCharType="begin"/>
      </w:r>
      <w:r w:rsidR="00A47444">
        <w:rPr>
          <w:sz w:val="28"/>
          <w:lang w:val="en-GB"/>
        </w:rPr>
        <w:instrText xml:space="preserve"> HYPERLINK "mailto:joshua.hordern@theology.ox.ac.uk" </w:instrText>
      </w:r>
      <w:r w:rsidR="00A47444">
        <w:rPr>
          <w:sz w:val="28"/>
          <w:lang w:val="en-GB"/>
        </w:rPr>
        <w:fldChar w:fldCharType="separate"/>
      </w:r>
      <w:r w:rsidR="00A47444" w:rsidRPr="009E5FD5">
        <w:rPr>
          <w:rStyle w:val="Hyperlink"/>
          <w:sz w:val="28"/>
          <w:lang w:val="en-GB"/>
        </w:rPr>
        <w:t>joshua.hordern@theology.ox.ac.uk</w:t>
      </w:r>
      <w:r w:rsidR="00A47444">
        <w:rPr>
          <w:sz w:val="28"/>
          <w:lang w:val="en-GB"/>
        </w:rPr>
        <w:fldChar w:fldCharType="end"/>
      </w:r>
      <w:r w:rsidR="00A47444">
        <w:rPr>
          <w:sz w:val="28"/>
          <w:lang w:val="en-GB"/>
        </w:rPr>
        <w:t xml:space="preserve"> </w:t>
      </w:r>
    </w:p>
    <w:p w14:paraId="6282A671" w14:textId="493834C9" w:rsidR="009A1AD0" w:rsidRPr="00940086" w:rsidRDefault="009A1AD0">
      <w:pPr>
        <w:rPr>
          <w:sz w:val="24"/>
          <w:lang w:val="en-GB"/>
        </w:rPr>
      </w:pPr>
    </w:p>
    <w:p w14:paraId="32B109CB" w14:textId="77777777" w:rsidR="00940086" w:rsidRDefault="00940086">
      <w:pPr>
        <w:rPr>
          <w:sz w:val="24"/>
          <w:lang w:val="en-GB"/>
        </w:rPr>
      </w:pPr>
    </w:p>
    <w:p w14:paraId="0C4DE6E7" w14:textId="497899CC" w:rsidR="009A1AD0" w:rsidRDefault="009A1AD0">
      <w:pPr>
        <w:rPr>
          <w:sz w:val="24"/>
          <w:lang w:val="en-GB"/>
        </w:rPr>
      </w:pPr>
      <w:r w:rsidRPr="00940086">
        <w:rPr>
          <w:sz w:val="24"/>
          <w:lang w:val="en-GB"/>
        </w:rPr>
        <w:t>Background</w:t>
      </w:r>
    </w:p>
    <w:p w14:paraId="455ADA61" w14:textId="1BE44B66" w:rsidR="00940086" w:rsidRDefault="00940086" w:rsidP="00940086">
      <w:pPr>
        <w:pStyle w:val="ListParagraph"/>
        <w:numPr>
          <w:ilvl w:val="0"/>
          <w:numId w:val="2"/>
        </w:numPr>
        <w:rPr>
          <w:sz w:val="24"/>
          <w:lang w:val="en-GB"/>
        </w:rPr>
      </w:pPr>
      <w:r>
        <w:rPr>
          <w:sz w:val="24"/>
          <w:lang w:val="en-GB"/>
        </w:rPr>
        <w:t>Oxford University Hospitals NHS Foundation Trust</w:t>
      </w:r>
    </w:p>
    <w:p w14:paraId="202D5455" w14:textId="409C8100" w:rsidR="00940086" w:rsidRDefault="00940086" w:rsidP="00940086">
      <w:pPr>
        <w:pStyle w:val="ListParagraph"/>
        <w:numPr>
          <w:ilvl w:val="0"/>
          <w:numId w:val="2"/>
        </w:numPr>
        <w:rPr>
          <w:sz w:val="24"/>
          <w:lang w:val="en-GB"/>
        </w:rPr>
      </w:pPr>
      <w:r>
        <w:rPr>
          <w:sz w:val="24"/>
          <w:lang w:val="en-GB"/>
        </w:rPr>
        <w:t>Precision medicine</w:t>
      </w:r>
    </w:p>
    <w:p w14:paraId="6BF4302F" w14:textId="599425A6" w:rsidR="00940086" w:rsidRPr="00940086" w:rsidRDefault="00940086" w:rsidP="00940086">
      <w:pPr>
        <w:pStyle w:val="ListParagraph"/>
        <w:numPr>
          <w:ilvl w:val="0"/>
          <w:numId w:val="2"/>
        </w:numPr>
        <w:rPr>
          <w:sz w:val="24"/>
          <w:lang w:val="en-GB"/>
        </w:rPr>
      </w:pPr>
      <w:r>
        <w:rPr>
          <w:sz w:val="24"/>
          <w:lang w:val="en-GB"/>
        </w:rPr>
        <w:t xml:space="preserve">Royal College of Physicians </w:t>
      </w:r>
    </w:p>
    <w:p w14:paraId="76BFDE7E" w14:textId="39C77240" w:rsidR="009A1AD0" w:rsidRPr="00940086" w:rsidRDefault="009A1AD0">
      <w:pPr>
        <w:rPr>
          <w:sz w:val="24"/>
          <w:lang w:val="en-GB"/>
        </w:rPr>
      </w:pPr>
    </w:p>
    <w:p w14:paraId="3376C775" w14:textId="0938A248" w:rsidR="009A1AD0" w:rsidRPr="00940086" w:rsidRDefault="009A1AD0">
      <w:pPr>
        <w:rPr>
          <w:i/>
          <w:sz w:val="24"/>
          <w:lang w:val="en-GB"/>
        </w:rPr>
      </w:pPr>
      <w:r w:rsidRPr="00940086">
        <w:rPr>
          <w:i/>
          <w:sz w:val="24"/>
          <w:lang w:val="en-GB"/>
        </w:rPr>
        <w:t xml:space="preserve">I. </w:t>
      </w:r>
      <w:proofErr w:type="spellStart"/>
      <w:r w:rsidRPr="00940086">
        <w:rPr>
          <w:i/>
          <w:sz w:val="24"/>
          <w:lang w:val="en-GB"/>
        </w:rPr>
        <w:t>Peregrinatio</w:t>
      </w:r>
      <w:proofErr w:type="spellEnd"/>
    </w:p>
    <w:p w14:paraId="4153D57C" w14:textId="56CE5E46" w:rsidR="009A1AD0" w:rsidRPr="00940086" w:rsidRDefault="009A1AD0">
      <w:pPr>
        <w:rPr>
          <w:i/>
          <w:sz w:val="24"/>
          <w:lang w:val="en-GB"/>
        </w:rPr>
      </w:pPr>
    </w:p>
    <w:p w14:paraId="7F2A48B5" w14:textId="0E539019" w:rsidR="009A1AD0" w:rsidRPr="00940086" w:rsidRDefault="009A1AD0" w:rsidP="009A1AD0">
      <w:pPr>
        <w:jc w:val="both"/>
        <w:rPr>
          <w:rFonts w:cstheme="minorHAnsi"/>
          <w:sz w:val="24"/>
        </w:rPr>
      </w:pPr>
      <w:r w:rsidRPr="00940086">
        <w:rPr>
          <w:rFonts w:cstheme="minorHAnsi"/>
          <w:sz w:val="24"/>
        </w:rPr>
        <w:t xml:space="preserve">It is a strange world of sickness when we look to medicine to deliver us from our finitude, from our mortality and our human vulnerability to suffering…Reading the Bible may help us to keep medicine in its (modest) place and then to celebrate it as good, without extravagant and idolatrous expectations of it. It is a strange world of medicine when modern medicine reduces the person to body and the body to </w:t>
      </w:r>
      <w:proofErr w:type="spellStart"/>
      <w:r w:rsidRPr="00940086">
        <w:rPr>
          <w:rFonts w:cstheme="minorHAnsi"/>
          <w:sz w:val="24"/>
        </w:rPr>
        <w:t>manipulable</w:t>
      </w:r>
      <w:proofErr w:type="spellEnd"/>
      <w:r w:rsidRPr="00940086">
        <w:rPr>
          <w:rFonts w:cstheme="minorHAnsi"/>
          <w:sz w:val="24"/>
        </w:rPr>
        <w:t xml:space="preserve"> nature. Reading the Bible may help us to see the folly of reducing our knowledge of persons and their bodies to the objective and objectifying gaze of science. It may help us to form and inform a medicine capable again of seeing and treating persons as embodied and communal selves, capable indeed of recognizing a patient’s suffering (as well as the patient’s disease) and responding to it with compassion. It is a strange world of medicine when it pretends to be value-free, a set of skills available in the marketplace…It is a strange world of medicine when the dying are not permitted to die, and stranger yet when compassion kills.</w:t>
      </w:r>
      <w:r w:rsidRPr="00940086">
        <w:rPr>
          <w:rFonts w:cstheme="minorHAnsi"/>
          <w:sz w:val="24"/>
        </w:rPr>
        <w:t xml:space="preserve"> (</w:t>
      </w:r>
      <w:r w:rsidRPr="00940086">
        <w:rPr>
          <w:sz w:val="24"/>
        </w:rPr>
        <w:t xml:space="preserve">A. </w:t>
      </w:r>
      <w:proofErr w:type="spellStart"/>
      <w:r w:rsidRPr="00940086">
        <w:rPr>
          <w:rFonts w:cstheme="minorHAnsi"/>
          <w:sz w:val="24"/>
        </w:rPr>
        <w:t>Verhey</w:t>
      </w:r>
      <w:proofErr w:type="spellEnd"/>
      <w:r w:rsidRPr="00940086">
        <w:rPr>
          <w:rFonts w:cstheme="minorHAnsi"/>
          <w:sz w:val="24"/>
        </w:rPr>
        <w:t xml:space="preserve">, </w:t>
      </w:r>
      <w:r w:rsidRPr="00940086">
        <w:rPr>
          <w:rFonts w:cstheme="minorHAnsi"/>
          <w:i/>
          <w:sz w:val="24"/>
        </w:rPr>
        <w:t>Reading the Bible in the Strange world of medicine</w:t>
      </w:r>
      <w:r w:rsidRPr="00940086">
        <w:rPr>
          <w:rFonts w:cstheme="minorHAnsi"/>
          <w:sz w:val="24"/>
        </w:rPr>
        <w:t xml:space="preserve"> (Eerdmans, 2004), 60.</w:t>
      </w:r>
      <w:r w:rsidRPr="00940086">
        <w:rPr>
          <w:rFonts w:cstheme="minorHAnsi"/>
          <w:sz w:val="24"/>
        </w:rPr>
        <w:t>)</w:t>
      </w:r>
    </w:p>
    <w:p w14:paraId="35320E52" w14:textId="77777777" w:rsidR="009A1AD0" w:rsidRPr="00940086" w:rsidRDefault="009A1AD0" w:rsidP="009A1AD0">
      <w:pPr>
        <w:jc w:val="both"/>
        <w:rPr>
          <w:rFonts w:cstheme="minorHAnsi"/>
          <w:sz w:val="24"/>
        </w:rPr>
      </w:pPr>
    </w:p>
    <w:p w14:paraId="6F057003" w14:textId="4177355E" w:rsidR="009A1AD0" w:rsidRPr="002E1428" w:rsidRDefault="009A1AD0" w:rsidP="009A1AD0">
      <w:pPr>
        <w:pStyle w:val="ListParagraph"/>
        <w:numPr>
          <w:ilvl w:val="0"/>
          <w:numId w:val="1"/>
        </w:numPr>
        <w:jc w:val="both"/>
        <w:rPr>
          <w:sz w:val="24"/>
        </w:rPr>
      </w:pPr>
      <w:r w:rsidRPr="00940086">
        <w:rPr>
          <w:rFonts w:cstheme="minorHAnsi"/>
          <w:sz w:val="24"/>
        </w:rPr>
        <w:t>Being ‘away from home’</w:t>
      </w:r>
      <w:r w:rsidR="002A762F">
        <w:rPr>
          <w:rFonts w:cstheme="minorHAnsi"/>
          <w:sz w:val="24"/>
        </w:rPr>
        <w:t>; life as transitory</w:t>
      </w:r>
    </w:p>
    <w:p w14:paraId="24D046EB" w14:textId="413958C3" w:rsidR="002E1428" w:rsidRPr="00940086" w:rsidRDefault="002E1428" w:rsidP="009A1AD0">
      <w:pPr>
        <w:pStyle w:val="ListParagraph"/>
        <w:numPr>
          <w:ilvl w:val="0"/>
          <w:numId w:val="1"/>
        </w:numPr>
        <w:jc w:val="both"/>
        <w:rPr>
          <w:sz w:val="24"/>
        </w:rPr>
      </w:pPr>
      <w:r>
        <w:rPr>
          <w:sz w:val="24"/>
        </w:rPr>
        <w:t xml:space="preserve">Not necessarily about geographical movement. </w:t>
      </w:r>
    </w:p>
    <w:p w14:paraId="5D13C934" w14:textId="77777777" w:rsidR="009A1AD0" w:rsidRPr="00940086" w:rsidRDefault="009A1AD0" w:rsidP="009A1AD0">
      <w:pPr>
        <w:jc w:val="both"/>
        <w:rPr>
          <w:rFonts w:cstheme="minorHAnsi"/>
          <w:sz w:val="24"/>
        </w:rPr>
      </w:pPr>
    </w:p>
    <w:p w14:paraId="27FA9FF4" w14:textId="2996B1D0" w:rsidR="009A1AD0" w:rsidRPr="00940086" w:rsidRDefault="009A1AD0" w:rsidP="009A1AD0">
      <w:pPr>
        <w:jc w:val="both"/>
        <w:rPr>
          <w:sz w:val="24"/>
        </w:rPr>
      </w:pPr>
      <w:r w:rsidRPr="00940086">
        <w:rPr>
          <w:color w:val="000000"/>
          <w:sz w:val="24"/>
        </w:rPr>
        <w:t>One by one, all of these died in faith, without having received the things that were promised, but they saw and welcomed them from a distance. They confessed that they were strangers and pilgrims on the earth. Indeed, people who say things like that make it clear that they are looking for a land of their own. And if they were remembering the land they had come from, they would have had an opportunity to return. Instead, they were longing for a better land—a heavenly one. For that reason, God is not ashamed to be called their God, because he prepared a city for them.</w:t>
      </w:r>
      <w:r w:rsidRPr="00940086">
        <w:rPr>
          <w:color w:val="000000"/>
          <w:sz w:val="24"/>
        </w:rPr>
        <w:t xml:space="preserve"> (</w:t>
      </w:r>
      <w:r w:rsidRPr="00940086">
        <w:rPr>
          <w:sz w:val="24"/>
          <w:lang w:val="en-GB"/>
        </w:rPr>
        <w:t>Hebrews 11:11-15.</w:t>
      </w:r>
      <w:r w:rsidRPr="00940086">
        <w:rPr>
          <w:sz w:val="24"/>
          <w:lang w:val="en-GB"/>
        </w:rPr>
        <w:t>)</w:t>
      </w:r>
    </w:p>
    <w:p w14:paraId="0A91FAD8" w14:textId="77777777" w:rsidR="009A1AD0" w:rsidRPr="00940086" w:rsidRDefault="009A1AD0" w:rsidP="009A1AD0">
      <w:pPr>
        <w:jc w:val="both"/>
        <w:rPr>
          <w:rFonts w:cstheme="minorHAnsi"/>
          <w:sz w:val="24"/>
        </w:rPr>
      </w:pPr>
      <w:r w:rsidRPr="00940086">
        <w:rPr>
          <w:rFonts w:cstheme="minorHAnsi"/>
          <w:sz w:val="24"/>
        </w:rPr>
        <w:t xml:space="preserve"> </w:t>
      </w:r>
    </w:p>
    <w:p w14:paraId="3A90C930" w14:textId="0C302364" w:rsidR="00940086" w:rsidRDefault="009A1AD0" w:rsidP="004E782D">
      <w:pPr>
        <w:jc w:val="both"/>
        <w:rPr>
          <w:rFonts w:cstheme="minorHAnsi"/>
          <w:sz w:val="24"/>
        </w:rPr>
      </w:pPr>
      <w:r w:rsidRPr="00940086">
        <w:rPr>
          <w:rFonts w:cstheme="minorHAnsi"/>
          <w:color w:val="000000"/>
          <w:sz w:val="24"/>
        </w:rPr>
        <w:t>Our whole lives ought to be spent in traveling this road. — We ought to begin </w:t>
      </w:r>
      <w:r w:rsidRPr="00940086">
        <w:rPr>
          <w:rFonts w:cstheme="minorHAnsi"/>
          <w:i/>
          <w:iCs/>
          <w:color w:val="000000"/>
          <w:sz w:val="24"/>
        </w:rPr>
        <w:t>early</w:t>
      </w:r>
      <w:r w:rsidRPr="00940086">
        <w:rPr>
          <w:rFonts w:cstheme="minorHAnsi"/>
          <w:color w:val="000000"/>
          <w:sz w:val="24"/>
        </w:rPr>
        <w:t>. This should be the </w:t>
      </w:r>
      <w:r w:rsidRPr="00940086">
        <w:rPr>
          <w:rFonts w:cstheme="minorHAnsi"/>
          <w:i/>
          <w:iCs/>
          <w:color w:val="000000"/>
          <w:sz w:val="24"/>
        </w:rPr>
        <w:t>first</w:t>
      </w:r>
      <w:r w:rsidRPr="00940086">
        <w:rPr>
          <w:rFonts w:cstheme="minorHAnsi"/>
          <w:color w:val="000000"/>
          <w:sz w:val="24"/>
        </w:rPr>
        <w:t> concern, when persons become capable of acting. When they first set out in the </w:t>
      </w:r>
      <w:r w:rsidRPr="00940086">
        <w:rPr>
          <w:rFonts w:cstheme="minorHAnsi"/>
          <w:i/>
          <w:iCs/>
          <w:color w:val="000000"/>
          <w:sz w:val="24"/>
        </w:rPr>
        <w:t>world</w:t>
      </w:r>
      <w:r w:rsidRPr="00940086">
        <w:rPr>
          <w:rFonts w:cstheme="minorHAnsi"/>
          <w:color w:val="000000"/>
          <w:sz w:val="24"/>
        </w:rPr>
        <w:t>, they should set out on </w:t>
      </w:r>
      <w:r w:rsidRPr="00940086">
        <w:rPr>
          <w:rFonts w:cstheme="minorHAnsi"/>
          <w:i/>
          <w:iCs/>
          <w:color w:val="000000"/>
          <w:sz w:val="24"/>
        </w:rPr>
        <w:t>this</w:t>
      </w:r>
      <w:r w:rsidRPr="00940086">
        <w:rPr>
          <w:rFonts w:cstheme="minorHAnsi"/>
          <w:color w:val="000000"/>
          <w:sz w:val="24"/>
        </w:rPr>
        <w:t> journey. — And we ought to travel on with </w:t>
      </w:r>
      <w:r w:rsidRPr="00940086">
        <w:rPr>
          <w:rFonts w:cstheme="minorHAnsi"/>
          <w:i/>
          <w:iCs/>
          <w:color w:val="000000"/>
          <w:sz w:val="24"/>
        </w:rPr>
        <w:t>assiduity.</w:t>
      </w:r>
      <w:r w:rsidRPr="00940086">
        <w:rPr>
          <w:rFonts w:cstheme="minorHAnsi"/>
          <w:color w:val="000000"/>
          <w:sz w:val="24"/>
        </w:rPr>
        <w:t> It ought to be the work of every day. We should often think of our journey’s end; and make it our daily work to travel on in the way that leads to it. — He who is on a journey is often thinking of the destined place, and it is his daily care and business to get along and to improve his time to get towards his journey’s end. Thus should heaven be continually in our thoughts, and the immediate entrance or passage to it, </w:t>
      </w:r>
      <w:r w:rsidRPr="00940086">
        <w:rPr>
          <w:rFonts w:cstheme="minorHAnsi"/>
          <w:i/>
          <w:iCs/>
          <w:color w:val="000000"/>
          <w:sz w:val="24"/>
        </w:rPr>
        <w:t>viz.</w:t>
      </w:r>
      <w:r w:rsidRPr="00940086">
        <w:rPr>
          <w:rFonts w:cstheme="minorHAnsi"/>
          <w:color w:val="000000"/>
          <w:sz w:val="24"/>
        </w:rPr>
        <w:t> death, should be present with us. — We ought to </w:t>
      </w:r>
      <w:r w:rsidRPr="00940086">
        <w:rPr>
          <w:rFonts w:cstheme="minorHAnsi"/>
          <w:i/>
          <w:iCs/>
          <w:color w:val="000000"/>
          <w:sz w:val="24"/>
        </w:rPr>
        <w:t>persevere</w:t>
      </w:r>
      <w:r w:rsidRPr="00940086">
        <w:rPr>
          <w:rFonts w:cstheme="minorHAnsi"/>
          <w:color w:val="000000"/>
          <w:sz w:val="24"/>
        </w:rPr>
        <w:t> in this way as long as we live.</w:t>
      </w:r>
      <w:r w:rsidRPr="00940086">
        <w:rPr>
          <w:rFonts w:cstheme="minorHAnsi"/>
          <w:color w:val="000000"/>
          <w:sz w:val="24"/>
        </w:rPr>
        <w:t xml:space="preserve"> (</w:t>
      </w:r>
      <w:r w:rsidRPr="00940086">
        <w:rPr>
          <w:color w:val="000000" w:themeColor="text1"/>
          <w:sz w:val="24"/>
        </w:rPr>
        <w:t xml:space="preserve">J. </w:t>
      </w:r>
      <w:r w:rsidRPr="00940086">
        <w:rPr>
          <w:rFonts w:cstheme="minorHAnsi"/>
          <w:color w:val="000000" w:themeColor="text1"/>
          <w:sz w:val="24"/>
        </w:rPr>
        <w:t xml:space="preserve">Edwards, ‘The Christian Pilgrim: The True Christian’s Life a Journey Towards Heaven’, in H. </w:t>
      </w:r>
      <w:r w:rsidRPr="00940086">
        <w:rPr>
          <w:color w:val="000000" w:themeColor="text1"/>
          <w:sz w:val="24"/>
          <w:shd w:val="clear" w:color="auto" w:fill="FFFFFF"/>
        </w:rPr>
        <w:t xml:space="preserve">Rogers, D. Sereno Edwards and E. Hickman (eds.), </w:t>
      </w:r>
      <w:r w:rsidRPr="00940086">
        <w:rPr>
          <w:i/>
          <w:iCs/>
          <w:color w:val="000000" w:themeColor="text1"/>
          <w:sz w:val="24"/>
        </w:rPr>
        <w:t>The Works of Jonathan Edwards, A.M: With an essay on his genius and writings</w:t>
      </w:r>
      <w:r w:rsidRPr="00940086">
        <w:rPr>
          <w:color w:val="000000" w:themeColor="text1"/>
          <w:sz w:val="24"/>
          <w:shd w:val="clear" w:color="auto" w:fill="FFFFFF"/>
        </w:rPr>
        <w:t xml:space="preserve"> (</w:t>
      </w:r>
      <w:r w:rsidRPr="00940086">
        <w:rPr>
          <w:rStyle w:val="apple-converted-space"/>
          <w:color w:val="000000" w:themeColor="text1"/>
          <w:sz w:val="24"/>
          <w:shd w:val="clear" w:color="auto" w:fill="FFFFFF"/>
        </w:rPr>
        <w:t xml:space="preserve">London: </w:t>
      </w:r>
      <w:r w:rsidRPr="00940086">
        <w:rPr>
          <w:color w:val="000000" w:themeColor="text1"/>
          <w:sz w:val="24"/>
          <w:shd w:val="clear" w:color="auto" w:fill="FFFFFF"/>
        </w:rPr>
        <w:t>W. Ball., 1839)</w:t>
      </w:r>
      <w:r w:rsidRPr="00940086">
        <w:rPr>
          <w:rFonts w:cstheme="minorHAnsi"/>
          <w:color w:val="000000" w:themeColor="text1"/>
          <w:sz w:val="24"/>
        </w:rPr>
        <w:t>, 243-246, I.4 (p.244).</w:t>
      </w:r>
      <w:r w:rsidRPr="00940086">
        <w:rPr>
          <w:rFonts w:cstheme="minorHAnsi"/>
          <w:color w:val="000000" w:themeColor="text1"/>
          <w:sz w:val="24"/>
        </w:rPr>
        <w:t>)</w:t>
      </w:r>
    </w:p>
    <w:p w14:paraId="42628F10" w14:textId="77777777" w:rsidR="009927F5" w:rsidRDefault="009927F5">
      <w:pPr>
        <w:rPr>
          <w:rFonts w:cstheme="minorHAnsi"/>
          <w:sz w:val="24"/>
        </w:rPr>
      </w:pPr>
      <w:r>
        <w:rPr>
          <w:rFonts w:cstheme="minorHAnsi"/>
          <w:sz w:val="24"/>
        </w:rPr>
        <w:br w:type="page"/>
      </w:r>
    </w:p>
    <w:p w14:paraId="0861B8B2" w14:textId="1E2667A3" w:rsidR="009A1AD0" w:rsidRPr="00940086" w:rsidRDefault="009A1AD0" w:rsidP="009A1AD0">
      <w:pPr>
        <w:jc w:val="both"/>
        <w:rPr>
          <w:rFonts w:cstheme="minorHAnsi"/>
          <w:sz w:val="24"/>
        </w:rPr>
      </w:pPr>
      <w:r w:rsidRPr="00940086">
        <w:rPr>
          <w:rFonts w:cstheme="minorHAnsi"/>
          <w:sz w:val="24"/>
        </w:rPr>
        <w:lastRenderedPageBreak/>
        <w:t xml:space="preserve">II. </w:t>
      </w:r>
      <w:proofErr w:type="spellStart"/>
      <w:r w:rsidRPr="00940086">
        <w:rPr>
          <w:rFonts w:cstheme="minorHAnsi"/>
          <w:i/>
          <w:sz w:val="24"/>
        </w:rPr>
        <w:t>Peregrinatio</w:t>
      </w:r>
      <w:proofErr w:type="spellEnd"/>
      <w:r w:rsidRPr="00940086">
        <w:rPr>
          <w:rFonts w:cstheme="minorHAnsi"/>
          <w:sz w:val="24"/>
        </w:rPr>
        <w:t xml:space="preserve"> and healthcare</w:t>
      </w:r>
    </w:p>
    <w:p w14:paraId="24143917" w14:textId="3E5EFFA3" w:rsidR="009A1AD0" w:rsidRPr="00940086" w:rsidRDefault="009A1AD0" w:rsidP="009A1AD0">
      <w:pPr>
        <w:jc w:val="both"/>
        <w:rPr>
          <w:rFonts w:cstheme="minorHAnsi"/>
          <w:sz w:val="24"/>
        </w:rPr>
      </w:pPr>
    </w:p>
    <w:p w14:paraId="5D81E901" w14:textId="2BD66211" w:rsidR="009A1AD0" w:rsidRPr="00940086" w:rsidRDefault="009A1AD0" w:rsidP="009A1AD0">
      <w:pPr>
        <w:pStyle w:val="ListParagraph"/>
        <w:numPr>
          <w:ilvl w:val="0"/>
          <w:numId w:val="1"/>
        </w:numPr>
        <w:jc w:val="both"/>
        <w:rPr>
          <w:rFonts w:cstheme="minorHAnsi"/>
          <w:sz w:val="24"/>
        </w:rPr>
      </w:pPr>
      <w:r w:rsidRPr="00940086">
        <w:rPr>
          <w:sz w:val="24"/>
        </w:rPr>
        <w:t>compassion – its nature, and its practice – will be illuminated by thinking of the people, who encounter each other in healthcare contexts, as wayfarers and pilgrims.</w:t>
      </w:r>
    </w:p>
    <w:p w14:paraId="5A7CDE12" w14:textId="1DF2EE6B" w:rsidR="009A1AD0" w:rsidRPr="00940086" w:rsidRDefault="009A1AD0" w:rsidP="009A1AD0">
      <w:pPr>
        <w:jc w:val="both"/>
        <w:rPr>
          <w:rFonts w:cstheme="minorHAnsi"/>
          <w:sz w:val="24"/>
        </w:rPr>
      </w:pPr>
    </w:p>
    <w:p w14:paraId="0BB13379" w14:textId="2DCA6A07" w:rsidR="009A1AD0" w:rsidRDefault="009A1AD0" w:rsidP="009A1AD0">
      <w:pPr>
        <w:jc w:val="both"/>
        <w:rPr>
          <w:i/>
          <w:sz w:val="24"/>
        </w:rPr>
      </w:pPr>
      <w:r w:rsidRPr="00940086">
        <w:rPr>
          <w:rFonts w:cstheme="minorHAnsi"/>
          <w:sz w:val="24"/>
        </w:rPr>
        <w:t>(</w:t>
      </w:r>
      <w:proofErr w:type="spellStart"/>
      <w:r w:rsidRPr="00940086">
        <w:rPr>
          <w:rFonts w:cstheme="minorHAnsi"/>
          <w:sz w:val="24"/>
        </w:rPr>
        <w:t>i</w:t>
      </w:r>
      <w:proofErr w:type="spellEnd"/>
      <w:r w:rsidRPr="00940086">
        <w:rPr>
          <w:rFonts w:cstheme="minorHAnsi"/>
          <w:sz w:val="24"/>
        </w:rPr>
        <w:t xml:space="preserve">) </w:t>
      </w:r>
      <w:proofErr w:type="spellStart"/>
      <w:r w:rsidRPr="00940086">
        <w:rPr>
          <w:i/>
          <w:sz w:val="24"/>
        </w:rPr>
        <w:t>peregrinatio</w:t>
      </w:r>
      <w:proofErr w:type="spellEnd"/>
      <w:r w:rsidRPr="00940086">
        <w:rPr>
          <w:i/>
          <w:sz w:val="24"/>
        </w:rPr>
        <w:t xml:space="preserve"> </w:t>
      </w:r>
      <w:r w:rsidRPr="00940086">
        <w:rPr>
          <w:sz w:val="24"/>
        </w:rPr>
        <w:t xml:space="preserve">should be heard primarily as an </w:t>
      </w:r>
      <w:r w:rsidRPr="00940086">
        <w:rPr>
          <w:i/>
          <w:sz w:val="24"/>
        </w:rPr>
        <w:t>interpretation of the life-course</w:t>
      </w:r>
    </w:p>
    <w:p w14:paraId="4D0DA658" w14:textId="77777777" w:rsidR="004E782D" w:rsidRPr="00940086" w:rsidRDefault="004E782D" w:rsidP="009A1AD0">
      <w:pPr>
        <w:jc w:val="both"/>
        <w:rPr>
          <w:i/>
          <w:sz w:val="24"/>
        </w:rPr>
      </w:pPr>
    </w:p>
    <w:p w14:paraId="07061CB1" w14:textId="5188792F" w:rsidR="009A1AD0" w:rsidRDefault="009A1AD0" w:rsidP="009A1AD0">
      <w:pPr>
        <w:jc w:val="both"/>
        <w:rPr>
          <w:sz w:val="24"/>
        </w:rPr>
      </w:pPr>
      <w:r w:rsidRPr="00940086">
        <w:rPr>
          <w:rFonts w:cstheme="minorHAnsi"/>
          <w:sz w:val="24"/>
        </w:rPr>
        <w:t xml:space="preserve">(ii) </w:t>
      </w:r>
      <w:proofErr w:type="spellStart"/>
      <w:r w:rsidRPr="00940086">
        <w:rPr>
          <w:i/>
          <w:sz w:val="24"/>
        </w:rPr>
        <w:t>peregrinatio</w:t>
      </w:r>
      <w:proofErr w:type="spellEnd"/>
      <w:r w:rsidRPr="00940086">
        <w:rPr>
          <w:sz w:val="24"/>
        </w:rPr>
        <w:t xml:space="preserve"> encourages a </w:t>
      </w:r>
      <w:r w:rsidRPr="00940086">
        <w:rPr>
          <w:i/>
          <w:sz w:val="24"/>
        </w:rPr>
        <w:t>patience</w:t>
      </w:r>
      <w:r w:rsidRPr="00940086">
        <w:rPr>
          <w:sz w:val="24"/>
        </w:rPr>
        <w:t xml:space="preserve"> with the </w:t>
      </w:r>
      <w:r w:rsidRPr="00940086">
        <w:rPr>
          <w:i/>
          <w:sz w:val="24"/>
        </w:rPr>
        <w:t>plurality of perspective</w:t>
      </w:r>
      <w:r w:rsidRPr="00940086">
        <w:rPr>
          <w:sz w:val="24"/>
        </w:rPr>
        <w:t xml:space="preserve"> which marks healthcare encounters</w:t>
      </w:r>
    </w:p>
    <w:p w14:paraId="71972B49" w14:textId="77777777" w:rsidR="00484B60" w:rsidRDefault="00484B60" w:rsidP="00484B60">
      <w:pPr>
        <w:jc w:val="both"/>
        <w:rPr>
          <w:sz w:val="24"/>
        </w:rPr>
      </w:pPr>
    </w:p>
    <w:p w14:paraId="54CC8124" w14:textId="0E5F1AE3" w:rsidR="00484B60" w:rsidRPr="009927F5" w:rsidRDefault="00484B60" w:rsidP="00484B60">
      <w:pPr>
        <w:jc w:val="both"/>
        <w:rPr>
          <w:sz w:val="24"/>
        </w:rPr>
      </w:pPr>
      <w:r w:rsidRPr="009927F5">
        <w:rPr>
          <w:color w:val="000000"/>
          <w:sz w:val="24"/>
          <w:shd w:val="clear" w:color="auto" w:fill="FFFFFF"/>
        </w:rPr>
        <w:t>Insofar as </w:t>
      </w:r>
      <w:proofErr w:type="spellStart"/>
      <w:r w:rsidRPr="009927F5">
        <w:rPr>
          <w:i/>
          <w:iCs/>
          <w:color w:val="000000"/>
          <w:sz w:val="24"/>
        </w:rPr>
        <w:t>peregrinatio</w:t>
      </w:r>
      <w:proofErr w:type="spellEnd"/>
      <w:r w:rsidRPr="009927F5">
        <w:rPr>
          <w:color w:val="000000"/>
          <w:sz w:val="24"/>
          <w:shd w:val="clear" w:color="auto" w:fill="FFFFFF"/>
        </w:rPr>
        <w:t> designates the human condition as a sojourn on earth apart from God, this does not necessarily imply the traveler’s orientation to the heavenly homeland. In this sense, the image denotes, primarily, absence and does </w:t>
      </w:r>
      <w:r w:rsidRPr="009927F5">
        <w:rPr>
          <w:i/>
          <w:iCs/>
          <w:color w:val="000000"/>
          <w:sz w:val="24"/>
        </w:rPr>
        <w:t>not</w:t>
      </w:r>
      <w:r w:rsidRPr="009927F5">
        <w:rPr>
          <w:color w:val="000000"/>
          <w:sz w:val="24"/>
          <w:shd w:val="clear" w:color="auto" w:fill="FFFFFF"/>
        </w:rPr>
        <w:t> assume the further meaning of journeying home. But insofar as </w:t>
      </w:r>
      <w:proofErr w:type="spellStart"/>
      <w:r w:rsidRPr="009927F5">
        <w:rPr>
          <w:i/>
          <w:iCs/>
          <w:color w:val="000000"/>
          <w:sz w:val="24"/>
        </w:rPr>
        <w:t>peregrinatio</w:t>
      </w:r>
      <w:proofErr w:type="spellEnd"/>
      <w:r w:rsidRPr="009927F5">
        <w:rPr>
          <w:i/>
          <w:iCs/>
          <w:color w:val="000000"/>
          <w:sz w:val="24"/>
        </w:rPr>
        <w:t xml:space="preserve"> </w:t>
      </w:r>
      <w:r w:rsidRPr="009927F5">
        <w:rPr>
          <w:color w:val="000000"/>
          <w:sz w:val="24"/>
          <w:shd w:val="clear" w:color="auto" w:fill="FFFFFF"/>
        </w:rPr>
        <w:t>refers to the </w:t>
      </w:r>
      <w:r w:rsidRPr="009927F5">
        <w:rPr>
          <w:i/>
          <w:iCs/>
          <w:color w:val="000000"/>
          <w:sz w:val="24"/>
        </w:rPr>
        <w:t>Christian</w:t>
      </w:r>
      <w:r w:rsidRPr="009927F5">
        <w:rPr>
          <w:color w:val="000000"/>
          <w:sz w:val="24"/>
          <w:shd w:val="clear" w:color="auto" w:fill="FFFFFF"/>
        </w:rPr>
        <w:t> journey (the peregrinating believer), it must imply the direction home, for the Christian journey is a journey to God with whom humanity can only fully unite in the homeland.</w:t>
      </w:r>
      <w:r w:rsidRPr="009927F5">
        <w:rPr>
          <w:sz w:val="24"/>
        </w:rPr>
        <w:t xml:space="preserve"> (</w:t>
      </w:r>
      <w:r w:rsidRPr="009927F5">
        <w:rPr>
          <w:sz w:val="24"/>
        </w:rPr>
        <w:t>Stewart-</w:t>
      </w:r>
      <w:proofErr w:type="spellStart"/>
      <w:r w:rsidRPr="009927F5">
        <w:rPr>
          <w:sz w:val="24"/>
        </w:rPr>
        <w:t>Kroeker</w:t>
      </w:r>
      <w:proofErr w:type="spellEnd"/>
      <w:r w:rsidRPr="009927F5">
        <w:rPr>
          <w:sz w:val="24"/>
        </w:rPr>
        <w:t xml:space="preserve">, </w:t>
      </w:r>
      <w:r w:rsidRPr="009927F5">
        <w:rPr>
          <w:rFonts w:cs="Tahoma"/>
          <w:i/>
          <w:color w:val="000000" w:themeColor="text1"/>
          <w:sz w:val="24"/>
        </w:rPr>
        <w:t>Pilgrimage as Moral and Aesthetic Formation in Augustine’s Thought</w:t>
      </w:r>
      <w:r w:rsidRPr="009927F5">
        <w:rPr>
          <w:rFonts w:cs="Tahoma"/>
          <w:color w:val="000000" w:themeColor="text1"/>
          <w:sz w:val="24"/>
        </w:rPr>
        <w:t xml:space="preserve"> (OUP, 2017),</w:t>
      </w:r>
      <w:r w:rsidRPr="009927F5">
        <w:rPr>
          <w:rFonts w:cs="Tahoma"/>
          <w:i/>
          <w:color w:val="000000" w:themeColor="text1"/>
          <w:sz w:val="24"/>
        </w:rPr>
        <w:t xml:space="preserve"> </w:t>
      </w:r>
      <w:r w:rsidRPr="009927F5">
        <w:rPr>
          <w:rFonts w:cs="Tahoma"/>
          <w:color w:val="000000" w:themeColor="text1"/>
          <w:sz w:val="24"/>
        </w:rPr>
        <w:t>16</w:t>
      </w:r>
      <w:r w:rsidRPr="009927F5">
        <w:rPr>
          <w:rFonts w:cs="Tahoma"/>
          <w:color w:val="000000" w:themeColor="text1"/>
          <w:sz w:val="24"/>
        </w:rPr>
        <w:t>)</w:t>
      </w:r>
    </w:p>
    <w:p w14:paraId="3C708690" w14:textId="77777777" w:rsidR="004E782D" w:rsidRPr="00940086" w:rsidRDefault="004E782D" w:rsidP="009A1AD0">
      <w:pPr>
        <w:jc w:val="both"/>
        <w:rPr>
          <w:sz w:val="24"/>
        </w:rPr>
      </w:pPr>
    </w:p>
    <w:p w14:paraId="75C37A35" w14:textId="01D0E76B" w:rsidR="009A1AD0" w:rsidRPr="00940086" w:rsidRDefault="009A1AD0" w:rsidP="009A1AD0">
      <w:pPr>
        <w:jc w:val="both"/>
        <w:rPr>
          <w:sz w:val="24"/>
        </w:rPr>
      </w:pPr>
      <w:r w:rsidRPr="00940086">
        <w:rPr>
          <w:rFonts w:cstheme="minorHAnsi"/>
          <w:sz w:val="24"/>
        </w:rPr>
        <w:t xml:space="preserve">(iii) </w:t>
      </w:r>
      <w:r w:rsidRPr="00940086">
        <w:rPr>
          <w:sz w:val="24"/>
        </w:rPr>
        <w:t>wayfaring and pilgrimage are</w:t>
      </w:r>
      <w:r w:rsidRPr="00940086">
        <w:rPr>
          <w:i/>
          <w:sz w:val="24"/>
        </w:rPr>
        <w:t xml:space="preserve"> images of encounter and companionship</w:t>
      </w:r>
      <w:r w:rsidRPr="00940086">
        <w:rPr>
          <w:sz w:val="24"/>
        </w:rPr>
        <w:t xml:space="preserve"> with an inherent sense of porosity and curiosity</w:t>
      </w:r>
      <w:r w:rsidRPr="00940086">
        <w:rPr>
          <w:sz w:val="24"/>
        </w:rPr>
        <w:t xml:space="preserve"> not </w:t>
      </w:r>
      <w:r w:rsidRPr="00940086">
        <w:rPr>
          <w:sz w:val="24"/>
        </w:rPr>
        <w:t>exclusion and sectarianism</w:t>
      </w:r>
    </w:p>
    <w:p w14:paraId="15328A34" w14:textId="77777777" w:rsidR="004E782D" w:rsidRDefault="004E782D" w:rsidP="009A1AD0">
      <w:pPr>
        <w:jc w:val="both"/>
        <w:rPr>
          <w:sz w:val="24"/>
        </w:rPr>
      </w:pPr>
    </w:p>
    <w:p w14:paraId="464AA938" w14:textId="798C3FCD" w:rsidR="009A1AD0" w:rsidRDefault="009A1AD0" w:rsidP="009A1AD0">
      <w:pPr>
        <w:jc w:val="both"/>
        <w:rPr>
          <w:sz w:val="24"/>
        </w:rPr>
      </w:pPr>
      <w:r w:rsidRPr="00940086">
        <w:rPr>
          <w:sz w:val="24"/>
        </w:rPr>
        <w:t xml:space="preserve">(iv) </w:t>
      </w:r>
      <w:proofErr w:type="spellStart"/>
      <w:r w:rsidRPr="00940086">
        <w:rPr>
          <w:i/>
          <w:sz w:val="24"/>
        </w:rPr>
        <w:t>peregrinatio</w:t>
      </w:r>
      <w:proofErr w:type="spellEnd"/>
      <w:r w:rsidRPr="00940086">
        <w:rPr>
          <w:sz w:val="24"/>
        </w:rPr>
        <w:t xml:space="preserve"> yields attitudes of </w:t>
      </w:r>
      <w:r w:rsidRPr="00940086">
        <w:rPr>
          <w:i/>
          <w:sz w:val="24"/>
        </w:rPr>
        <w:t>humility</w:t>
      </w:r>
      <w:r w:rsidRPr="00940086">
        <w:rPr>
          <w:sz w:val="24"/>
        </w:rPr>
        <w:t xml:space="preserve"> for companionship</w:t>
      </w:r>
    </w:p>
    <w:p w14:paraId="147898AE" w14:textId="718612C4" w:rsidR="00484B60" w:rsidRDefault="00484B60" w:rsidP="009A1AD0">
      <w:pPr>
        <w:jc w:val="both"/>
        <w:rPr>
          <w:rFonts w:cstheme="minorHAnsi"/>
          <w:sz w:val="24"/>
        </w:rPr>
      </w:pPr>
    </w:p>
    <w:p w14:paraId="3F8AD4F3" w14:textId="0D584516" w:rsidR="00484B60" w:rsidRPr="009927F5" w:rsidRDefault="00484B60" w:rsidP="009A1AD0">
      <w:pPr>
        <w:jc w:val="both"/>
        <w:rPr>
          <w:rFonts w:cstheme="minorHAnsi"/>
          <w:sz w:val="24"/>
        </w:rPr>
      </w:pPr>
      <w:r w:rsidRPr="009927F5">
        <w:rPr>
          <w:sz w:val="24"/>
        </w:rPr>
        <w:t xml:space="preserve">Citizens are those individual human beings whose life together constitutes the life of cities. </w:t>
      </w:r>
      <w:proofErr w:type="spellStart"/>
      <w:r w:rsidRPr="009927F5">
        <w:rPr>
          <w:sz w:val="24"/>
        </w:rPr>
        <w:t>Eschatatologically</w:t>
      </w:r>
      <w:proofErr w:type="spellEnd"/>
      <w:r w:rsidRPr="009927F5">
        <w:rPr>
          <w:sz w:val="24"/>
        </w:rPr>
        <w:t xml:space="preserve"> speaking, in terms of final and unchanging citizenship, every human being has citizenship in exactly one of the two cities, the </w:t>
      </w:r>
      <w:r w:rsidRPr="009927F5">
        <w:rPr>
          <w:i/>
          <w:sz w:val="24"/>
        </w:rPr>
        <w:t>civitas Dei</w:t>
      </w:r>
      <w:r w:rsidRPr="009927F5">
        <w:rPr>
          <w:sz w:val="24"/>
        </w:rPr>
        <w:t xml:space="preserve">, or city of God, and the </w:t>
      </w:r>
      <w:r w:rsidRPr="009927F5">
        <w:rPr>
          <w:i/>
          <w:sz w:val="24"/>
        </w:rPr>
        <w:t xml:space="preserve">civitas </w:t>
      </w:r>
      <w:proofErr w:type="spellStart"/>
      <w:r w:rsidRPr="009927F5">
        <w:rPr>
          <w:i/>
          <w:sz w:val="24"/>
        </w:rPr>
        <w:t>terrena</w:t>
      </w:r>
      <w:proofErr w:type="spellEnd"/>
      <w:r w:rsidRPr="009927F5">
        <w:rPr>
          <w:sz w:val="24"/>
        </w:rPr>
        <w:t>, or earthly city…In every case that final citizenship is known to God; but living people typically do not know it with anything approaching clarity or certainty about themselves, and much less about others with whom they have to do; and even in the case of dead people it is the exception rather than the rule that their citizenship is known to those yet living.</w:t>
      </w:r>
      <w:r w:rsidRPr="009927F5">
        <w:rPr>
          <w:sz w:val="24"/>
        </w:rPr>
        <w:t xml:space="preserve"> </w:t>
      </w:r>
      <w:r w:rsidRPr="009927F5">
        <w:rPr>
          <w:sz w:val="24"/>
        </w:rPr>
        <w:t xml:space="preserve">P.J. Griffiths, ‘Secularity and the </w:t>
      </w:r>
      <w:proofErr w:type="spellStart"/>
      <w:r w:rsidRPr="009927F5">
        <w:rPr>
          <w:sz w:val="24"/>
        </w:rPr>
        <w:t>saeculum</w:t>
      </w:r>
      <w:proofErr w:type="spellEnd"/>
      <w:r w:rsidRPr="009927F5">
        <w:rPr>
          <w:sz w:val="24"/>
        </w:rPr>
        <w:t xml:space="preserve">’, in J. Wetzel (ed.), </w:t>
      </w:r>
      <w:r w:rsidRPr="009927F5">
        <w:rPr>
          <w:i/>
          <w:sz w:val="24"/>
        </w:rPr>
        <w:t>Augustine’s City of God: A Critical Guide</w:t>
      </w:r>
      <w:r w:rsidRPr="009927F5">
        <w:rPr>
          <w:sz w:val="24"/>
        </w:rPr>
        <w:t xml:space="preserve">, (Cambridge University Press, 2012), 33-54, </w:t>
      </w:r>
      <w:r w:rsidRPr="009927F5">
        <w:rPr>
          <w:sz w:val="24"/>
        </w:rPr>
        <w:t>42.</w:t>
      </w:r>
    </w:p>
    <w:p w14:paraId="68A8729C" w14:textId="77777777" w:rsidR="004E782D" w:rsidRDefault="004E782D">
      <w:pPr>
        <w:rPr>
          <w:sz w:val="24"/>
          <w:lang w:val="en-GB"/>
        </w:rPr>
      </w:pPr>
    </w:p>
    <w:p w14:paraId="46038D27" w14:textId="4EECACA7" w:rsidR="009A1AD0" w:rsidRPr="00940086" w:rsidRDefault="009A1AD0">
      <w:pPr>
        <w:rPr>
          <w:sz w:val="24"/>
        </w:rPr>
      </w:pPr>
      <w:r w:rsidRPr="00940086">
        <w:rPr>
          <w:sz w:val="24"/>
          <w:lang w:val="en-GB"/>
        </w:rPr>
        <w:t xml:space="preserve">(v) </w:t>
      </w:r>
      <w:proofErr w:type="spellStart"/>
      <w:r w:rsidRPr="00940086">
        <w:rPr>
          <w:i/>
          <w:sz w:val="24"/>
        </w:rPr>
        <w:t>peregrinatio</w:t>
      </w:r>
      <w:proofErr w:type="spellEnd"/>
      <w:r w:rsidRPr="00940086">
        <w:rPr>
          <w:sz w:val="24"/>
        </w:rPr>
        <w:t xml:space="preserve"> deepens healthcare’s value by strengthening the significance of human encounter which lies at its heart</w:t>
      </w:r>
    </w:p>
    <w:p w14:paraId="70732EB0" w14:textId="77777777" w:rsidR="004E782D" w:rsidRDefault="004E782D">
      <w:pPr>
        <w:rPr>
          <w:sz w:val="24"/>
          <w:lang w:val="en-GB"/>
        </w:rPr>
      </w:pPr>
    </w:p>
    <w:p w14:paraId="175AC4DE" w14:textId="2141B2C0" w:rsidR="009A1AD0" w:rsidRPr="00940086" w:rsidRDefault="009A1AD0">
      <w:pPr>
        <w:rPr>
          <w:sz w:val="24"/>
          <w:lang w:val="en-GB"/>
        </w:rPr>
      </w:pPr>
      <w:r w:rsidRPr="00940086">
        <w:rPr>
          <w:sz w:val="24"/>
          <w:lang w:val="en-GB"/>
        </w:rPr>
        <w:t xml:space="preserve">(vi) </w:t>
      </w:r>
      <w:proofErr w:type="spellStart"/>
      <w:r w:rsidRPr="00940086">
        <w:rPr>
          <w:i/>
          <w:sz w:val="24"/>
        </w:rPr>
        <w:t>peregrinatio</w:t>
      </w:r>
      <w:proofErr w:type="spellEnd"/>
      <w:r w:rsidRPr="00940086">
        <w:rPr>
          <w:sz w:val="24"/>
        </w:rPr>
        <w:t xml:space="preserve"> is a corporate undertaking requiring </w:t>
      </w:r>
      <w:r w:rsidRPr="00940086">
        <w:rPr>
          <w:i/>
          <w:sz w:val="24"/>
        </w:rPr>
        <w:t>perseverance</w:t>
      </w:r>
      <w:r w:rsidRPr="00940086">
        <w:rPr>
          <w:sz w:val="24"/>
        </w:rPr>
        <w:t>.</w:t>
      </w:r>
    </w:p>
    <w:p w14:paraId="39ADACE3" w14:textId="38270274" w:rsidR="009A1AD0" w:rsidRPr="00940086" w:rsidRDefault="009A1AD0">
      <w:pPr>
        <w:rPr>
          <w:i/>
          <w:sz w:val="24"/>
          <w:lang w:val="en-GB"/>
        </w:rPr>
      </w:pPr>
    </w:p>
    <w:p w14:paraId="4B95E0A0" w14:textId="4D6E5568" w:rsidR="009A1AD0" w:rsidRPr="00940086" w:rsidRDefault="009A1AD0">
      <w:pPr>
        <w:rPr>
          <w:sz w:val="24"/>
          <w:lang w:val="en-GB"/>
        </w:rPr>
      </w:pPr>
      <w:r w:rsidRPr="00940086">
        <w:rPr>
          <w:sz w:val="24"/>
          <w:lang w:val="en-GB"/>
        </w:rPr>
        <w:t>Consider the parable of the Good Samaritan</w:t>
      </w:r>
    </w:p>
    <w:p w14:paraId="1CCF47B5" w14:textId="56FEA4D2" w:rsidR="009A1AD0" w:rsidRPr="00940086" w:rsidRDefault="009A1AD0">
      <w:pPr>
        <w:rPr>
          <w:sz w:val="24"/>
          <w:lang w:val="en-GB"/>
        </w:rPr>
      </w:pPr>
    </w:p>
    <w:p w14:paraId="020603BB" w14:textId="5BC29B87" w:rsidR="009A1AD0" w:rsidRPr="00940086" w:rsidRDefault="009A1AD0">
      <w:pPr>
        <w:rPr>
          <w:sz w:val="24"/>
          <w:lang w:val="en-GB"/>
        </w:rPr>
      </w:pPr>
      <w:r w:rsidRPr="00940086">
        <w:rPr>
          <w:sz w:val="24"/>
          <w:lang w:val="en-GB"/>
        </w:rPr>
        <w:t>III. The nature of compassion</w:t>
      </w:r>
    </w:p>
    <w:p w14:paraId="53D57185" w14:textId="3E70CF3D" w:rsidR="009A1AD0" w:rsidRPr="00940086" w:rsidRDefault="009A1AD0">
      <w:pPr>
        <w:rPr>
          <w:sz w:val="24"/>
          <w:lang w:val="en-GB"/>
        </w:rPr>
      </w:pPr>
    </w:p>
    <w:p w14:paraId="739850C2" w14:textId="17EF2223" w:rsidR="004E782D" w:rsidRPr="009927F5" w:rsidRDefault="009A1AD0" w:rsidP="009927F5">
      <w:pPr>
        <w:pStyle w:val="ListParagraph"/>
        <w:numPr>
          <w:ilvl w:val="0"/>
          <w:numId w:val="1"/>
        </w:numPr>
        <w:rPr>
          <w:sz w:val="24"/>
          <w:lang w:val="en-GB"/>
        </w:rPr>
      </w:pPr>
      <w:r w:rsidRPr="00940086">
        <w:rPr>
          <w:sz w:val="24"/>
        </w:rPr>
        <w:t xml:space="preserve">paradigmatically a quality of human </w:t>
      </w:r>
      <w:r w:rsidRPr="00940086">
        <w:rPr>
          <w:i/>
          <w:sz w:val="24"/>
        </w:rPr>
        <w:t>relationship</w:t>
      </w:r>
      <w:r w:rsidRPr="00940086">
        <w:rPr>
          <w:sz w:val="24"/>
        </w:rPr>
        <w:t xml:space="preserve"> rather than being paradigmatically a quality of an individual’s </w:t>
      </w:r>
      <w:r w:rsidRPr="00940086">
        <w:rPr>
          <w:i/>
          <w:sz w:val="24"/>
        </w:rPr>
        <w:t>virtue</w:t>
      </w:r>
      <w:r w:rsidR="003A7BA0">
        <w:rPr>
          <w:sz w:val="24"/>
        </w:rPr>
        <w:t xml:space="preserve"> (although it may be a virtue when understood in a second-personal sense)</w:t>
      </w:r>
    </w:p>
    <w:p w14:paraId="6FFA1128" w14:textId="7F10078B" w:rsidR="009A1AD0" w:rsidRPr="00940086" w:rsidRDefault="009A1AD0" w:rsidP="009A1AD0">
      <w:pPr>
        <w:pStyle w:val="ListParagraph"/>
        <w:numPr>
          <w:ilvl w:val="0"/>
          <w:numId w:val="1"/>
        </w:numPr>
        <w:rPr>
          <w:sz w:val="24"/>
          <w:lang w:val="en-GB"/>
        </w:rPr>
      </w:pPr>
      <w:r w:rsidRPr="00940086">
        <w:rPr>
          <w:sz w:val="24"/>
          <w:lang w:val="en-GB"/>
        </w:rPr>
        <w:t xml:space="preserve">distinguish the </w:t>
      </w:r>
      <w:r w:rsidRPr="003A7BA0">
        <w:rPr>
          <w:i/>
          <w:sz w:val="24"/>
          <w:lang w:val="en-GB"/>
        </w:rPr>
        <w:t>nature</w:t>
      </w:r>
      <w:r w:rsidRPr="00940086">
        <w:rPr>
          <w:sz w:val="24"/>
          <w:lang w:val="en-GB"/>
        </w:rPr>
        <w:t xml:space="preserve"> of compassion from the </w:t>
      </w:r>
      <w:r w:rsidRPr="003A7BA0">
        <w:rPr>
          <w:i/>
          <w:sz w:val="24"/>
          <w:lang w:val="en-GB"/>
        </w:rPr>
        <w:t>content</w:t>
      </w:r>
      <w:r w:rsidRPr="00940086">
        <w:rPr>
          <w:sz w:val="24"/>
          <w:lang w:val="en-GB"/>
        </w:rPr>
        <w:t xml:space="preserve"> of compassion</w:t>
      </w:r>
    </w:p>
    <w:p w14:paraId="24FE6193" w14:textId="621A22BE" w:rsidR="009A1AD0" w:rsidRPr="00940086" w:rsidRDefault="009A1AD0" w:rsidP="009A1AD0">
      <w:pPr>
        <w:rPr>
          <w:sz w:val="24"/>
          <w:lang w:val="en-GB"/>
        </w:rPr>
      </w:pPr>
    </w:p>
    <w:p w14:paraId="1FB3C5D1" w14:textId="4B6C341B" w:rsidR="009A1AD0" w:rsidRPr="00940086" w:rsidRDefault="00172EB8" w:rsidP="009A1AD0">
      <w:pPr>
        <w:rPr>
          <w:sz w:val="24"/>
          <w:lang w:val="en-GB"/>
        </w:rPr>
      </w:pPr>
      <w:r>
        <w:rPr>
          <w:sz w:val="24"/>
          <w:lang w:val="en-GB"/>
        </w:rPr>
        <w:t>Qualities of compassion</w:t>
      </w:r>
      <w:bookmarkStart w:id="0" w:name="_GoBack"/>
      <w:bookmarkEnd w:id="0"/>
    </w:p>
    <w:p w14:paraId="1A27888D" w14:textId="53521565" w:rsidR="004E782D" w:rsidRPr="00484B60" w:rsidRDefault="009A1AD0" w:rsidP="00484B60">
      <w:pPr>
        <w:pStyle w:val="ListParagraph"/>
        <w:numPr>
          <w:ilvl w:val="0"/>
          <w:numId w:val="1"/>
        </w:numPr>
        <w:rPr>
          <w:sz w:val="24"/>
          <w:lang w:val="en-GB"/>
        </w:rPr>
      </w:pPr>
      <w:r w:rsidRPr="00940086">
        <w:rPr>
          <w:sz w:val="24"/>
          <w:lang w:val="en-GB"/>
        </w:rPr>
        <w:t>cognitive</w:t>
      </w:r>
    </w:p>
    <w:p w14:paraId="2B671BB2" w14:textId="3F42F556" w:rsidR="004E782D" w:rsidRPr="00484B60" w:rsidRDefault="009A1AD0" w:rsidP="004E782D">
      <w:pPr>
        <w:pStyle w:val="ListParagraph"/>
        <w:numPr>
          <w:ilvl w:val="0"/>
          <w:numId w:val="1"/>
        </w:numPr>
        <w:rPr>
          <w:sz w:val="24"/>
          <w:lang w:val="en-GB"/>
        </w:rPr>
      </w:pPr>
      <w:r w:rsidRPr="00940086">
        <w:rPr>
          <w:sz w:val="24"/>
          <w:lang w:val="en-GB"/>
        </w:rPr>
        <w:t>affective</w:t>
      </w:r>
    </w:p>
    <w:p w14:paraId="2983104F" w14:textId="75FE87BF" w:rsidR="004E782D" w:rsidRPr="00484B60" w:rsidRDefault="009A1AD0" w:rsidP="004E782D">
      <w:pPr>
        <w:pStyle w:val="ListParagraph"/>
        <w:numPr>
          <w:ilvl w:val="0"/>
          <w:numId w:val="1"/>
        </w:numPr>
        <w:rPr>
          <w:sz w:val="24"/>
          <w:lang w:val="en-GB"/>
        </w:rPr>
      </w:pPr>
      <w:r w:rsidRPr="00940086">
        <w:rPr>
          <w:sz w:val="24"/>
          <w:lang w:val="en-GB"/>
        </w:rPr>
        <w:t>consensual</w:t>
      </w:r>
    </w:p>
    <w:p w14:paraId="024AF3B4" w14:textId="2A7BAC0B" w:rsidR="004E782D" w:rsidRPr="00484B60" w:rsidRDefault="009A1AD0" w:rsidP="004E782D">
      <w:pPr>
        <w:pStyle w:val="ListParagraph"/>
        <w:numPr>
          <w:ilvl w:val="0"/>
          <w:numId w:val="1"/>
        </w:numPr>
        <w:rPr>
          <w:sz w:val="24"/>
          <w:lang w:val="en-GB"/>
        </w:rPr>
      </w:pPr>
      <w:r w:rsidRPr="00940086">
        <w:rPr>
          <w:i/>
          <w:sz w:val="24"/>
          <w:lang w:val="en-GB"/>
        </w:rPr>
        <w:t xml:space="preserve">often </w:t>
      </w:r>
      <w:proofErr w:type="spellStart"/>
      <w:r w:rsidRPr="00940086">
        <w:rPr>
          <w:sz w:val="24"/>
          <w:lang w:val="en-GB"/>
        </w:rPr>
        <w:t>intercorporeal</w:t>
      </w:r>
      <w:proofErr w:type="spellEnd"/>
      <w:r w:rsidRPr="00940086">
        <w:rPr>
          <w:sz w:val="24"/>
          <w:lang w:val="en-GB"/>
        </w:rPr>
        <w:t xml:space="preserve"> </w:t>
      </w:r>
    </w:p>
    <w:p w14:paraId="0A85FFE7" w14:textId="1331976C" w:rsidR="004E782D" w:rsidRPr="00484B60" w:rsidRDefault="009A1AD0" w:rsidP="004E782D">
      <w:pPr>
        <w:pStyle w:val="ListParagraph"/>
        <w:numPr>
          <w:ilvl w:val="0"/>
          <w:numId w:val="1"/>
        </w:numPr>
        <w:rPr>
          <w:sz w:val="24"/>
          <w:lang w:val="en-GB"/>
        </w:rPr>
      </w:pPr>
      <w:r w:rsidRPr="00940086">
        <w:rPr>
          <w:sz w:val="24"/>
          <w:lang w:val="en-GB"/>
        </w:rPr>
        <w:t>alle</w:t>
      </w:r>
      <w:r w:rsidR="00484B60">
        <w:rPr>
          <w:sz w:val="24"/>
          <w:lang w:val="en-GB"/>
        </w:rPr>
        <w:t>v</w:t>
      </w:r>
      <w:r w:rsidRPr="00940086">
        <w:rPr>
          <w:sz w:val="24"/>
          <w:lang w:val="en-GB"/>
        </w:rPr>
        <w:t>iative</w:t>
      </w:r>
    </w:p>
    <w:p w14:paraId="24798DD6" w14:textId="1BBF5BB8" w:rsidR="00484B60" w:rsidRPr="009927F5" w:rsidRDefault="009A1AD0" w:rsidP="009927F5">
      <w:pPr>
        <w:pStyle w:val="ListParagraph"/>
        <w:numPr>
          <w:ilvl w:val="0"/>
          <w:numId w:val="1"/>
        </w:numPr>
        <w:rPr>
          <w:sz w:val="24"/>
          <w:lang w:val="en-GB"/>
        </w:rPr>
      </w:pPr>
      <w:r w:rsidRPr="00940086">
        <w:rPr>
          <w:i/>
          <w:sz w:val="24"/>
          <w:lang w:val="en-GB"/>
        </w:rPr>
        <w:t xml:space="preserve">potentially </w:t>
      </w:r>
      <w:r w:rsidRPr="00940086">
        <w:rPr>
          <w:sz w:val="24"/>
          <w:lang w:val="en-GB"/>
        </w:rPr>
        <w:t>persuasive</w:t>
      </w:r>
    </w:p>
    <w:p w14:paraId="2ADDE8D2" w14:textId="6C0CA899" w:rsidR="00940086" w:rsidRPr="00940086" w:rsidRDefault="00940086" w:rsidP="009927F5">
      <w:pPr>
        <w:jc w:val="right"/>
        <w:rPr>
          <w:sz w:val="24"/>
          <w:lang w:val="en-GB"/>
        </w:rPr>
      </w:pPr>
      <w:r w:rsidRPr="00940086">
        <w:rPr>
          <w:sz w:val="24"/>
          <w:lang w:val="en-GB"/>
        </w:rPr>
        <w:t>JH</w:t>
      </w:r>
      <w:r w:rsidR="009927F5">
        <w:rPr>
          <w:sz w:val="24"/>
          <w:lang w:val="en-GB"/>
        </w:rPr>
        <w:t xml:space="preserve"> </w:t>
      </w:r>
      <w:r w:rsidRPr="00940086">
        <w:rPr>
          <w:sz w:val="24"/>
          <w:lang w:val="en-GB"/>
        </w:rPr>
        <w:t>22.6.21</w:t>
      </w:r>
    </w:p>
    <w:sectPr w:rsidR="00940086" w:rsidRPr="00940086" w:rsidSect="009927F5">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7710" w14:textId="77777777" w:rsidR="00A37752" w:rsidRDefault="00A37752" w:rsidP="009A1AD0">
      <w:r>
        <w:separator/>
      </w:r>
    </w:p>
  </w:endnote>
  <w:endnote w:type="continuationSeparator" w:id="0">
    <w:p w14:paraId="47CA84A7" w14:textId="77777777" w:rsidR="00A37752" w:rsidRDefault="00A37752" w:rsidP="009A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BDF1" w14:textId="77777777" w:rsidR="00A37752" w:rsidRDefault="00A37752" w:rsidP="009A1AD0">
      <w:r>
        <w:separator/>
      </w:r>
    </w:p>
  </w:footnote>
  <w:footnote w:type="continuationSeparator" w:id="0">
    <w:p w14:paraId="26CAF224" w14:textId="77777777" w:rsidR="00A37752" w:rsidRDefault="00A37752" w:rsidP="009A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7F38"/>
    <w:multiLevelType w:val="hybridMultilevel"/>
    <w:tmpl w:val="48F0B0C6"/>
    <w:lvl w:ilvl="0" w:tplc="A22E4D6E">
      <w:start w:val="22"/>
      <w:numFmt w:val="bullet"/>
      <w:lvlText w:val=""/>
      <w:lvlJc w:val="left"/>
      <w:pPr>
        <w:ind w:left="720" w:hanging="360"/>
      </w:pPr>
      <w:rPr>
        <w:rFonts w:ascii="Symbol" w:eastAsiaTheme="minorHAnsi" w:hAnsi="Symbol" w:cs="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7377B"/>
    <w:multiLevelType w:val="hybridMultilevel"/>
    <w:tmpl w:val="23909750"/>
    <w:lvl w:ilvl="0" w:tplc="5A246A44">
      <w:start w:val="1"/>
      <w:numFmt w:val="bullet"/>
      <w:lvlText w:val=""/>
      <w:lvlJc w:val="left"/>
      <w:pPr>
        <w:ind w:left="720" w:hanging="360"/>
      </w:pPr>
      <w:rPr>
        <w:rFonts w:ascii="Symbol" w:eastAsiaTheme="minorHAnsi" w:hAnsi="Symbol"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D0"/>
    <w:rsid w:val="001015B0"/>
    <w:rsid w:val="00113480"/>
    <w:rsid w:val="00172EB8"/>
    <w:rsid w:val="001E3B38"/>
    <w:rsid w:val="002A762F"/>
    <w:rsid w:val="002E1428"/>
    <w:rsid w:val="003A7BA0"/>
    <w:rsid w:val="00484B60"/>
    <w:rsid w:val="004E782D"/>
    <w:rsid w:val="00652014"/>
    <w:rsid w:val="00735B89"/>
    <w:rsid w:val="008948D7"/>
    <w:rsid w:val="00940086"/>
    <w:rsid w:val="009927F5"/>
    <w:rsid w:val="009A1AD0"/>
    <w:rsid w:val="00A37752"/>
    <w:rsid w:val="00A47444"/>
    <w:rsid w:val="00A9144B"/>
    <w:rsid w:val="00BD6D4B"/>
    <w:rsid w:val="00E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FB07"/>
  <w14:defaultImageDpi w14:val="32767"/>
  <w15:chartTrackingRefBased/>
  <w15:docId w15:val="{8177E8DD-0665-6B43-B909-818A8EBD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Calibri (Body)"/>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1AD0"/>
  </w:style>
  <w:style w:type="character" w:customStyle="1" w:styleId="FootnoteTextChar">
    <w:name w:val="Footnote Text Char"/>
    <w:basedOn w:val="DefaultParagraphFont"/>
    <w:link w:val="FootnoteText"/>
    <w:uiPriority w:val="99"/>
    <w:rsid w:val="009A1AD0"/>
  </w:style>
  <w:style w:type="character" w:styleId="FootnoteReference">
    <w:name w:val="footnote reference"/>
    <w:basedOn w:val="DefaultParagraphFont"/>
    <w:uiPriority w:val="99"/>
    <w:unhideWhenUsed/>
    <w:rsid w:val="009A1AD0"/>
    <w:rPr>
      <w:vertAlign w:val="superscript"/>
    </w:rPr>
  </w:style>
  <w:style w:type="paragraph" w:styleId="ListParagraph">
    <w:name w:val="List Paragraph"/>
    <w:basedOn w:val="Normal"/>
    <w:uiPriority w:val="34"/>
    <w:qFormat/>
    <w:rsid w:val="009A1AD0"/>
    <w:pPr>
      <w:ind w:left="720"/>
      <w:contextualSpacing/>
    </w:pPr>
  </w:style>
  <w:style w:type="character" w:customStyle="1" w:styleId="apple-converted-space">
    <w:name w:val="apple-converted-space"/>
    <w:basedOn w:val="DefaultParagraphFont"/>
    <w:rsid w:val="009A1AD0"/>
  </w:style>
  <w:style w:type="character" w:styleId="Hyperlink">
    <w:name w:val="Hyperlink"/>
    <w:basedOn w:val="DefaultParagraphFont"/>
    <w:uiPriority w:val="99"/>
    <w:unhideWhenUsed/>
    <w:rsid w:val="00940086"/>
    <w:rPr>
      <w:color w:val="0563C1" w:themeColor="hyperlink"/>
      <w:u w:val="single"/>
    </w:rPr>
  </w:style>
  <w:style w:type="character" w:styleId="UnresolvedMention">
    <w:name w:val="Unresolved Mention"/>
    <w:basedOn w:val="DefaultParagraphFont"/>
    <w:uiPriority w:val="99"/>
    <w:rsid w:val="00940086"/>
    <w:rPr>
      <w:color w:val="605E5C"/>
      <w:shd w:val="clear" w:color="auto" w:fill="E1DFDD"/>
    </w:rPr>
  </w:style>
  <w:style w:type="character" w:styleId="FollowedHyperlink">
    <w:name w:val="FollowedHyperlink"/>
    <w:basedOn w:val="DefaultParagraphFont"/>
    <w:uiPriority w:val="99"/>
    <w:semiHidden/>
    <w:unhideWhenUsed/>
    <w:rsid w:val="00A47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arevalue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976</Words>
  <Characters>5097</Characters>
  <Application>Microsoft Office Word</Application>
  <DocSecurity>0</DocSecurity>
  <Lines>78</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Hordern</dc:creator>
  <cp:keywords/>
  <dc:description/>
  <cp:lastModifiedBy>Joshua Hordern</cp:lastModifiedBy>
  <cp:revision>14</cp:revision>
  <dcterms:created xsi:type="dcterms:W3CDTF">2021-06-22T09:43:00Z</dcterms:created>
  <dcterms:modified xsi:type="dcterms:W3CDTF">2021-06-22T10:04:00Z</dcterms:modified>
</cp:coreProperties>
</file>